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Arial" w:hAnsi="Arial"/>
          <w:b/>
          <w:sz w:val="28"/>
        </w:rPr>
        <w:t>Informace o zpracování osobních údajů</w:t>
      </w:r>
    </w:p>
    <w:p>
      <w:pPr>
        <w:spacing w:after="160" w:before="0"/>
        <w:jc w:val="center"/>
      </w:pPr>
      <w:r>
        <w:rPr>
          <w:rFonts w:ascii="Arial" w:hAnsi="Arial"/>
          <w:b/>
          <w:color w:val="55524B"/>
          <w:sz w:val="20"/>
        </w:rPr>
        <w:t>pro zaměstnance, spolupracovníky, řidiče a kontaktní osoby — čl. 13 GDPR</w:t>
      </w:r>
    </w:p>
    <w:p>
      <w:pPr>
        <w:spacing w:after="120" w:before="0"/>
      </w:pPr>
      <w:r>
        <w:rPr>
          <w:rFonts w:ascii="Arial" w:hAnsi="Arial"/>
          <w:b/>
          <w:sz w:val="16"/>
        </w:rPr>
        <w:t>Orientační vzor — před použitím jej nechte ověřit advokátem v České republice.</w:t>
      </w:r>
      <w:r>
        <w:rPr>
          <w:rFonts w:ascii="Arial" w:hAnsi="Arial"/>
          <w:b w:val="0"/>
          <w:sz w:val="16"/>
        </w:rPr>
        <w:t xml:space="preserve"> Je připraven podle českého práva (nařízení (EU) 2016/679 a zákon č. 110/2019 Sb., o zpracování osobních údajů), nenahrazuje však právní poradenství. Přizpůsobte jej skutečnému zpracování údajů ve vašem provozu.</w:t>
      </w:r>
    </w:p>
    <w:p>
      <w:pPr>
        <w:spacing w:after="60" w:before="120"/>
      </w:pPr>
      <w:r>
        <w:rPr>
          <w:rFonts w:ascii="Arial" w:hAnsi="Arial"/>
          <w:b/>
          <w:color w:val="6E675A"/>
          <w:spacing w:val="20"/>
          <w:sz w:val="17"/>
        </w:rPr>
        <w:t>Správce (zaměstnavatel / provozovna)</w:t>
      </w:r>
    </w:p>
    <w:p>
      <w:pPr>
        <w:tabs>
          <w:tab w:pos="9000" w:val="right" w:leader="dot"/>
        </w:tabs>
        <w:spacing w:after="40" w:before="0"/>
      </w:pPr>
      <w:r>
        <w:rPr>
          <w:rFonts w:ascii="Arial" w:hAnsi="Arial"/>
          <w:sz w:val="19"/>
        </w:rPr>
        <w:t xml:space="preserve">název firmy / provozovny: </w:t>
        <w:tab/>
      </w:r>
    </w:p>
    <w:p>
      <w:pPr>
        <w:tabs>
          <w:tab w:pos="9000" w:val="right" w:leader="dot"/>
        </w:tabs>
        <w:spacing w:after="40" w:before="0"/>
      </w:pPr>
      <w:r>
        <w:rPr>
          <w:rFonts w:ascii="Arial" w:hAnsi="Arial"/>
          <w:sz w:val="19"/>
        </w:rPr>
        <w:t xml:space="preserve">sídlo: </w:t>
        <w:tab/>
      </w:r>
    </w:p>
    <w:p>
      <w:pPr>
        <w:tabs>
          <w:tab w:pos="9000" w:val="right" w:leader="dot"/>
        </w:tabs>
        <w:spacing w:after="40" w:before="0"/>
      </w:pPr>
      <w:r>
        <w:rPr>
          <w:rFonts w:ascii="Arial" w:hAnsi="Arial"/>
          <w:sz w:val="19"/>
        </w:rPr>
        <w:t xml:space="preserve">IČO / DIČ: </w:t>
        <w:tab/>
      </w:r>
    </w:p>
    <w:p>
      <w:pPr>
        <w:tabs>
          <w:tab w:pos="9000" w:val="right" w:leader="dot"/>
        </w:tabs>
        <w:spacing w:after="40" w:before="0"/>
      </w:pPr>
      <w:r>
        <w:rPr>
          <w:rFonts w:ascii="Arial" w:hAnsi="Arial"/>
          <w:sz w:val="19"/>
        </w:rPr>
        <w:t xml:space="preserve">kontakt ve věcech ochrany osobních údajů (e-mail / telefon / osoba): </w:t>
        <w:tab/>
      </w:r>
    </w:p>
    <w:p>
      <w:pPr>
        <w:spacing w:after="40" w:before="120"/>
      </w:pPr>
      <w:r>
        <w:rPr>
          <w:rFonts w:ascii="Arial" w:hAnsi="Arial"/>
          <w:b/>
          <w:sz w:val="20"/>
        </w:rPr>
        <w:t>1. Kdo je správcem</w:t>
      </w:r>
    </w:p>
    <w:p>
      <w:pPr>
        <w:spacing w:after="80" w:before="0"/>
      </w:pPr>
      <w:r>
        <w:rPr>
          <w:rFonts w:ascii="Arial" w:hAnsi="Arial"/>
          <w:b w:val="0"/>
          <w:sz w:val="19"/>
        </w:rPr>
        <w:t>Správcem vašich osobních údajů je výše uvedený zaměstnavatel (provozovna). Ve věcech ochrany osobních údajů nás můžete kontaktovat prostřednictvím výše uvedeného kontaktu.</w:t>
      </w:r>
    </w:p>
    <w:p>
      <w:pPr>
        <w:spacing w:after="40" w:before="120"/>
      </w:pPr>
      <w:r>
        <w:rPr>
          <w:rFonts w:ascii="Arial" w:hAnsi="Arial"/>
          <w:b/>
          <w:sz w:val="20"/>
        </w:rPr>
        <w:t>2. Jaké údaje a odkud</w:t>
      </w:r>
    </w:p>
    <w:p>
      <w:pPr>
        <w:spacing w:after="80" w:before="0"/>
      </w:pPr>
      <w:r>
        <w:rPr>
          <w:rFonts w:ascii="Arial" w:hAnsi="Arial"/>
          <w:b w:val="0"/>
          <w:sz w:val="19"/>
        </w:rPr>
        <w:t>Jméno a příjmení, pracovní pozice nebo role, pracovní telefon a e-mail, přihlašovací jméno do systému, registrační značky vozidel, která používáte, a údaje vznikající při každodenní práci: vážení a výdeje, tankování, prohlídky a opravy, měření, záznamy v evidenci výroby, historie činností v systému. Údaje pocházejí od vás a z vaší práce v provozovně.</w:t>
      </w:r>
    </w:p>
    <w:p>
      <w:pPr>
        <w:spacing w:after="40" w:before="120"/>
      </w:pPr>
      <w:r>
        <w:rPr>
          <w:rFonts w:ascii="Arial" w:hAnsi="Arial"/>
          <w:b/>
          <w:sz w:val="20"/>
        </w:rPr>
        <w:t>3. Účely a právní základy</w:t>
      </w:r>
    </w:p>
    <w:p>
      <w:pPr>
        <w:numPr>
          <w:ilvl w:val="0"/>
          <w:numId w:val="90"/>
        </w:numPr>
        <w:spacing w:after="40" w:before="0"/>
      </w:pPr>
      <w:r>
        <w:rPr>
          <w:rFonts w:ascii="Arial" w:hAnsi="Arial"/>
          <w:b w:val="0"/>
          <w:sz w:val="19"/>
        </w:rPr>
        <w:t xml:space="preserve">vedení evidence provozu (vážení, tankování, stroje, výroba) a vyúčtování nákladů — </w:t>
      </w:r>
      <w:r>
        <w:rPr>
          <w:rFonts w:ascii="Arial" w:hAnsi="Arial"/>
          <w:b/>
          <w:sz w:val="19"/>
        </w:rPr>
        <w:t>čl. 6 odst. 1 písm. b) GDPR</w:t>
      </w:r>
      <w:r>
        <w:rPr>
          <w:rFonts w:ascii="Arial" w:hAnsi="Arial"/>
          <w:b w:val="0"/>
          <w:sz w:val="19"/>
        </w:rPr>
        <w:t xml:space="preserve"> (pracovní smlouva, dohoda o práci konané mimo pracovní poměr nebo jiná smlouva) a </w:t>
      </w:r>
      <w:r>
        <w:rPr>
          <w:rFonts w:ascii="Arial" w:hAnsi="Arial"/>
          <w:b/>
          <w:sz w:val="19"/>
        </w:rPr>
        <w:t>čl. 6 odst. 1 písm. f)</w:t>
      </w:r>
      <w:r>
        <w:rPr>
          <w:rFonts w:ascii="Arial" w:hAnsi="Arial"/>
          <w:b w:val="0"/>
          <w:sz w:val="19"/>
        </w:rPr>
        <w:t xml:space="preserve"> (oprávněný zájem správce: organizace a kontrola práce, ochrana majetku, vyúčtování s obchodními partnery);</w:t>
      </w:r>
    </w:p>
    <w:p>
      <w:pPr>
        <w:numPr>
          <w:ilvl w:val="0"/>
          <w:numId w:val="90"/>
        </w:numPr>
        <w:spacing w:after="40" w:before="0"/>
      </w:pPr>
      <w:r>
        <w:rPr>
          <w:rFonts w:ascii="Arial" w:hAnsi="Arial"/>
          <w:b w:val="0"/>
          <w:sz w:val="19"/>
        </w:rPr>
        <w:t xml:space="preserve">plnění právních povinností podle českých předpisů (zákoník práce č. 262/2006 Sb., předpisy o BOZP, daňové předpisy a předpisy o sociálním a zdravotním pojištění, zákon č. 563/1991 Sb., o účetnictví, horní a báňské předpisy) — </w:t>
      </w:r>
      <w:r>
        <w:rPr>
          <w:rFonts w:ascii="Arial" w:hAnsi="Arial"/>
          <w:b/>
          <w:sz w:val="19"/>
        </w:rPr>
        <w:t>čl. 6 odst. 1 písm. c) GDPR</w:t>
      </w:r>
      <w:r>
        <w:rPr>
          <w:rFonts w:ascii="Arial" w:hAnsi="Arial"/>
          <w:b w:val="0"/>
          <w:sz w:val="19"/>
        </w:rPr>
        <w:t>;</w:t>
      </w:r>
    </w:p>
    <w:p>
      <w:pPr>
        <w:numPr>
          <w:ilvl w:val="0"/>
          <w:numId w:val="90"/>
        </w:numPr>
        <w:spacing w:after="40" w:before="0"/>
      </w:pPr>
      <w:r>
        <w:rPr>
          <w:rFonts w:ascii="Arial" w:hAnsi="Arial"/>
          <w:b w:val="0"/>
          <w:sz w:val="19"/>
        </w:rPr>
        <w:t xml:space="preserve">určení, výkon a obhajoba právních nároků — </w:t>
      </w:r>
      <w:r>
        <w:rPr>
          <w:rFonts w:ascii="Arial" w:hAnsi="Arial"/>
          <w:b/>
          <w:sz w:val="19"/>
        </w:rPr>
        <w:t>čl. 6 odst. 1 písm. f) GDPR</w:t>
      </w:r>
      <w:r>
        <w:rPr>
          <w:rFonts w:ascii="Arial" w:hAnsi="Arial"/>
          <w:b w:val="0"/>
          <w:sz w:val="19"/>
        </w:rPr>
        <w:t>.</w:t>
      </w:r>
    </w:p>
    <w:p>
      <w:pPr>
        <w:spacing w:after="40" w:before="120"/>
      </w:pPr>
      <w:r>
        <w:rPr>
          <w:rFonts w:ascii="Arial" w:hAnsi="Arial"/>
          <w:b/>
          <w:sz w:val="20"/>
        </w:rPr>
        <w:t>4. Komu údaje předáváme</w:t>
      </w:r>
    </w:p>
    <w:p>
      <w:pPr>
        <w:spacing w:after="80" w:before="0"/>
      </w:pPr>
      <w:r>
        <w:rPr>
          <w:rFonts w:ascii="Arial" w:hAnsi="Arial"/>
          <w:b w:val="0"/>
          <w:sz w:val="19"/>
        </w:rPr>
        <w:t xml:space="preserve">Údaje se zpracovávají v systému </w:t>
      </w:r>
      <w:r>
        <w:rPr>
          <w:rFonts w:ascii="Arial" w:hAnsi="Arial"/>
          <w:b/>
          <w:sz w:val="19"/>
        </w:rPr>
        <w:t>TonMiro Systems</w:t>
      </w:r>
      <w:r>
        <w:rPr>
          <w:rFonts w:ascii="Arial" w:hAnsi="Arial"/>
          <w:b w:val="0"/>
          <w:sz w:val="19"/>
        </w:rPr>
        <w:t>, jehož dodavatelem je Lexine Gawek i Kielar sp. j. (Krakov, Polsko) — jedná podle našich pokynů na základě smlouvy o zpracování osobních údajů (čl. 28 GDPR); servery systému jsou umístěny v Polsku (cyberfolks.pl). Údaje mohou dále obdržet: účetní kancelář, právní zástupce, servisní firmy strojů (v rozsahu oprav) a orgány veřejné moci, pokud to vyžaduje zákon. Údaje se nepředávají mimo Evropský hospodářský prostor.</w:t>
      </w:r>
    </w:p>
    <w:p>
      <w:pPr>
        <w:spacing w:after="40" w:before="120"/>
      </w:pPr>
      <w:r>
        <w:rPr>
          <w:rFonts w:ascii="Arial" w:hAnsi="Arial"/>
          <w:b/>
          <w:sz w:val="20"/>
        </w:rPr>
        <w:t>5. Jak dlouho</w:t>
      </w:r>
    </w:p>
    <w:p>
      <w:pPr>
        <w:spacing w:after="80" w:before="0"/>
      </w:pPr>
      <w:r>
        <w:rPr>
          <w:rFonts w:ascii="Arial" w:hAnsi="Arial"/>
          <w:b w:val="0"/>
          <w:sz w:val="19"/>
        </w:rPr>
        <w:t>Po dobu trvání zaměstnání nebo spolupráce a po jeho skončení po dobu stanovenou zvláštními předpisy: mzdové listy a účetní záznamy potřebné pro důchodové pojištění 30 let následujících po roce, kterého se týkají (§ 35a zákona č. 582/1991 Sb., o organizaci a provádění sociálního zabezpečení), účetní doklady a účetní knihy 5 let od konce účetního období, kterého se týkají (§ 31 zákona č. 563/1991 Sb., o účetnictví) — nebo do uplynutí promlčecích lhůt (obecně 3 roky, § 629 zákona č. 89/2012 Sb., občanský zákoník). Provozní údaje v systému (vážení, tankování) se archivují spolu s evidencí provozu.</w:t>
      </w:r>
    </w:p>
    <w:p>
      <w:pPr>
        <w:spacing w:after="40" w:before="120"/>
      </w:pPr>
      <w:r>
        <w:rPr>
          <w:rFonts w:ascii="Arial" w:hAnsi="Arial"/>
          <w:b/>
          <w:sz w:val="20"/>
        </w:rPr>
        <w:t>6. Vaše práva</w:t>
      </w:r>
    </w:p>
    <w:p>
      <w:pPr>
        <w:spacing w:after="80" w:before="0"/>
      </w:pPr>
      <w:r>
        <w:rPr>
          <w:rFonts w:ascii="Arial" w:hAnsi="Arial"/>
          <w:b w:val="0"/>
          <w:sz w:val="19"/>
        </w:rPr>
        <w:t xml:space="preserve">Máte právo na: přístup k údajům a jejich kopii, opravu, výmaz (pokud již neexistuje právní základ pro zpracování), omezení zpracování, přenositelnost údajů, vznést námitku proti zpracování založenému na oprávněném zájmu a podat stížnost u dozorového úřadu — </w:t>
      </w:r>
      <w:r>
        <w:rPr>
          <w:rFonts w:ascii="Arial" w:hAnsi="Arial"/>
          <w:b/>
          <w:sz w:val="19"/>
        </w:rPr>
        <w:t>Úřad pro ochranu osobních údajů, Pplk. Sochora 27, 170 00 Praha 7</w:t>
      </w:r>
      <w:r>
        <w:rPr>
          <w:rFonts w:ascii="Arial" w:hAnsi="Arial"/>
          <w:b w:val="0"/>
          <w:sz w:val="19"/>
        </w:rPr>
        <w:t>. Žádosti zasílejte na kontaktní adresu uvedenou výše.</w:t>
      </w:r>
    </w:p>
    <w:p>
      <w:pPr>
        <w:spacing w:after="40" w:before="120"/>
      </w:pPr>
      <w:r>
        <w:rPr>
          <w:rFonts w:ascii="Arial" w:hAnsi="Arial"/>
          <w:b/>
          <w:sz w:val="20"/>
        </w:rPr>
        <w:t>7. Povinnost poskytnout údaje a automatizované rozhodování</w:t>
      </w:r>
    </w:p>
    <w:p>
      <w:pPr>
        <w:spacing w:after="80" w:before="0"/>
      </w:pPr>
      <w:r>
        <w:rPr>
          <w:rFonts w:ascii="Arial" w:hAnsi="Arial"/>
          <w:b w:val="0"/>
          <w:sz w:val="19"/>
        </w:rPr>
        <w:t>Poskytnutí údajů je nezbytné pro výkon práce v provozovně a pro používání systému; bez nich nelze vést evidenci ani vyúčtování. Nepřijímáme vůči vám rozhodnutí založená výhradně na automatizovaném zpracování a neprovádíme profilování — analytické funkce systému hodnotí výrobní proces, nikoli osoby.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00"/>
        <w:gridCol w:w="4500"/>
      </w:tblGrid>
      <w:tr>
        <w:tc>
          <w:tcPr>
            <w:tcW w:type="dxa" w:w="4500"/>
          </w:tcPr>
          <w:p>
            <w:pPr>
              <w:spacing w:after="420" w:before="0"/>
            </w:pPr>
            <w:r>
              <w:rPr>
                <w:rFonts w:ascii="Arial" w:hAnsi="Arial"/>
                <w:sz w:val="19"/>
              </w:rPr>
              <w:t xml:space="preserve"> </w:t>
            </w:r>
          </w:p>
          <w:p>
            <w:pPr>
              <w:pBdr>
                <w:top w:val="single" w:sz="6" w:space="1" w:color="1D1C19"/>
              </w:pBdr>
              <w:spacing w:before="60" w:after="0"/>
              <w:jc w:val="center"/>
            </w:pPr>
            <w:r>
              <w:rPr>
                <w:rFonts w:ascii="Arial" w:hAnsi="Arial"/>
                <w:color w:val="55524B"/>
                <w:sz w:val="16"/>
              </w:rPr>
              <w:t>datum a podpis osoby, která se s informacemi seznámila (jméno a příjmení hůlkovým písmem)</w:t>
            </w:r>
          </w:p>
        </w:tc>
        <w:tc>
          <w:tcPr>
            <w:tcW w:type="dxa" w:w="4500"/>
          </w:tcPr>
          <w:p>
            <w:pPr>
              <w:spacing w:after="420" w:before="0"/>
            </w:pPr>
            <w:r>
              <w:rPr>
                <w:rFonts w:ascii="Arial" w:hAnsi="Arial"/>
                <w:sz w:val="19"/>
              </w:rPr>
              <w:t xml:space="preserve"> </w:t>
            </w:r>
          </w:p>
          <w:p>
            <w:pPr>
              <w:pBdr>
                <w:top w:val="single" w:sz="6" w:space="1" w:color="1D1C19"/>
              </w:pBdr>
              <w:spacing w:before="60" w:after="0"/>
              <w:jc w:val="center"/>
            </w:pPr>
            <w:r>
              <w:rPr>
                <w:rFonts w:ascii="Arial" w:hAnsi="Arial"/>
                <w:color w:val="55524B"/>
                <w:sz w:val="16"/>
              </w:rPr>
              <w:t>podpis správce (nepovinné)</w:t>
            </w:r>
          </w:p>
        </w:tc>
      </w:tr>
    </w:tbl>
    <w:p>
      <w:pPr>
        <w:spacing w:after="120" w:before="0"/>
      </w:pPr>
      <w:r>
        <w:rPr>
          <w:rFonts w:ascii="Arial" w:hAnsi="Arial"/>
          <w:b w:val="0"/>
          <w:sz w:val="16"/>
        </w:rPr>
        <w:t>Potřebujete vzor zkontrolovaný českým advokátem nebo upravený na míru vašemu provozu? Napište na info@tonmiro.com.</w:t>
      </w:r>
    </w:p>
    <w:p>
      <w:pPr>
        <w:spacing w:after="80" w:before="120"/>
        <w:jc w:val="right"/>
      </w:pPr>
      <w:r>
        <w:rPr>
          <w:rFonts w:ascii="Arial" w:hAnsi="Arial"/>
          <w:b w:val="0"/>
          <w:color w:val="8A857B"/>
          <w:sz w:val="14"/>
        </w:rPr>
        <w:t>vzor 1.0 · říjen 2026 · informace lze také vyvěsit na pracovišti nebo přiložit ke smlouvě</w:t>
      </w:r>
    </w:p>
    <w:sectPr w:rsidR="00FC693F" w:rsidRPr="0006063C" w:rsidSect="00034616">
      <w:pgSz w:w="11906" w:h="16838"/>
      <w:pgMar w:top="900" w:right="1000" w:bottom="80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>
    <w:multiLevelType w:val="singleLevel"/>
    <w:lvl w:ilvl="0">
      <w:start w:val="1"/>
      <w:numFmt w:val="decimal"/>
      <w:lvlText w:val="%1)"/>
      <w:lvlJc w:val="left"/>
      <w:pPr>
        <w:ind w:left="420" w:hanging="30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19"/>
      <w:lang w:val="cs-CZ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Informace o zpracování osobních údajů pro zaměstnance a spolupracovníky — vzor</dc:title>
  <dc:subject/>
  <dc:creator>TonMiro Systems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cs-CZ</dc:language>
</cp:coreProperties>
</file>