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Privacy notice on the processing of personal data</w:t>
      </w:r>
    </w:p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color w:val="55524B"/>
          <w:sz w:val="20"/>
          <w:szCs w:val="20"/>
        </w:rPr>
        <w:t xml:space="preserve">for employees, contractors, drivers and contact persons — Article 13 GDPR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This form is based on Polish law.</w:t>
      </w: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 It is an English translation of the Polish template; the Polish version is the reference text. Before use, adapt it to your actual data processing.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Data controller (employer / site)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company / site name: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registered address: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tax ID: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contact for data protection matters (e-mail / phone / person):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Who is the controller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The controller of your personal data is the site named above. You may contact us on data protection matters at the address given above.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What data and where it comes from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Name and surname, position or role, work phone and e-mail, system login, registration numbers of the vehicles you drive, and data created in daily work: weighings and dispatches, refuellings, inspections and repairs, measurements, production records, activity history in the system. The data comes from you and from your work at the site.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Purposes and legal bases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keeping records of the site's operations (weighings, refuellings, machines, production) and cost accounting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Article 6(1)(b) GDPR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 (employment or civil-law contract) and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Article 6(1)(f)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 (legitimate interest of the controller: organising and supervising work, protection of property, settlements with business partners);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compliance with legal obligations under Polish law: employment, health and safety, tax, accounting and mining and geological regulations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Article 6(1)(c) GDPR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establishing, exercising and defending claims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Article 6(1)(f) GDPR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Who receives the data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The data is processed in the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TonMiro Systems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 software supplied by Lexine Gawek i Kielar sp. j. (Kraków, Poland), which acts on our instructions under a data processing agreement (Article 28 GDPR); the servers are located in Poland (cyberfolks.pl). Data may also be received by: the accounting office, legal advisers, machine service companies (for repairs) and public authorities where required by law. The data is not transferred outside the European Economic Area.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How long we keep it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For the duration of your employment or cooperation and, after it ends, for the period required by Polish law (employee records: 10 years from the end of the calendar year in which the employment ended; accounting documents: 5 years) or until the limitation periods for claims expire (as a rule 3 years). Operational data in the system (weighings, refuellings) is archived together with the site records.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Your rights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You have the right to: access your data and obtain a copy, rectification, erasure (where there is no longer a basis for processing), restriction of processing, data portability, objection to processing based on legitimate interest, and to lodge a complaint with the supervisory authority — </w:t>
      </w:r>
      <w:r>
        <w:rPr>
          <w:rFonts w:ascii="Arial" w:cs="Arial" w:eastAsia="Arial" w:hAnsi="Arial"/>
          <w:b/>
          <w:bCs/>
          <w:sz w:val="19"/>
          <w:szCs w:val="19"/>
        </w:rPr>
        <w:t xml:space="preserve">the President of the Personal Data Protection Office, ul. Stawki 2, 00-193 Warsaw, Poland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. Send requests to the contact address given above.</w:t>
      </w:r>
    </w:p>
    <w:p>
      <w:pPr>
        <w:spacing w:after="4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Whether providing data is voluntary; automated decisions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Providing the data is necessary to work at the site and to use the system; without it, records and settlements cannot be kept. We do not take decisions about you based solely on automated processing and we do not profile you — the analytical functions of the system assess the production process, not people.</w:t>
      </w:r>
    </w:p>
    <w:tbl>
      <w:tblPr>
        <w:tblW w:type="dxa" w:w="90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date and signature of the person who has read this notice (name in block capitals)</w:t>
            </w:r>
          </w:p>
        </w:tc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signature of the controller (optional)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Do you need this form prepared under the law of your country? Write to info@tonmiro.com and we will prepare it.</w:t>
      </w:r>
    </w:p>
    <w:p>
      <w:pPr>
        <w:spacing w:after="80" w:before="120"/>
        <w:jc w:val="right"/>
      </w:pPr>
      <w:r>
        <w:rPr>
          <w:rFonts w:ascii="Arial" w:cs="Arial" w:eastAsia="Arial" w:hAnsi="Arial"/>
          <w:color w:val="8A857B"/>
          <w:sz w:val="14"/>
          <w:szCs w:val="14"/>
        </w:rPr>
        <w:t xml:space="preserve">template 1.0 · September 2026 · the notice may also be displayed at the workplace or attached to the contract</w:t>
      </w:r>
    </w:p>
    <w:sectPr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notice for employees and contractors — template</dc:title>
  <dc:creator>TonMiro Systems</dc:creator>
  <cp:lastModifiedBy>Un-named</cp:lastModifiedBy>
  <cp:revision>1</cp:revision>
  <dcterms:created xsi:type="dcterms:W3CDTF">2026-09-11T10:05:50.826Z</dcterms:created>
  <dcterms:modified xsi:type="dcterms:W3CDTF">2026-09-11T10:05:50.827Z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